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240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 Владимир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750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назначенный на основании постановления по делу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№18810586250812006946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Чертищев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18810586250812006946 от 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 Владимир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Чертищев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68213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DD12-C504-4CA2-83B6-449F056E52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